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9818ACB" w:rsidR="00F92268" w:rsidRPr="002D723B" w:rsidRDefault="00EC15CE" w:rsidP="00F246C7">
            <w:pPr>
              <w:pStyle w:val="RefTableHeader"/>
            </w:pPr>
            <w:r>
              <w:t>1949-A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550541B4" w14:textId="77777777" w:rsidR="00EC15CE" w:rsidRDefault="00B61A8B" w:rsidP="00EC15CE">
      <w:pPr>
        <w:pStyle w:val="Heading1"/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EC15CE" w:rsidRPr="00304464">
        <w:t>Profilnine</w:t>
      </w:r>
    </w:p>
    <w:p w14:paraId="45B67074" w14:textId="77777777" w:rsidR="00EC15CE" w:rsidRPr="00BD1CC1" w:rsidRDefault="00EC15CE" w:rsidP="00EC15CE">
      <w:pPr>
        <w:pStyle w:val="Heading2"/>
      </w:pPr>
      <w:r w:rsidRPr="00BD1CC1">
        <w:t>Products Referenced by this Document</w:t>
      </w:r>
    </w:p>
    <w:p w14:paraId="0304F8B9" w14:textId="77777777" w:rsidR="00EC15CE" w:rsidRPr="00BD1CC1" w:rsidRDefault="00EC15CE" w:rsidP="00EC15CE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>
        <w:t>Over-the-counter (</w:t>
      </w:r>
      <w:r w:rsidRPr="00BD1CC1">
        <w:t>OTC</w:t>
      </w:r>
      <w:r>
        <w:t>)</w:t>
      </w:r>
      <w:r w:rsidRPr="00BD1CC1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EC15CE" w:rsidRPr="00BD1CC1" w14:paraId="323048FA" w14:textId="77777777" w:rsidTr="00EF3012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70C677DE" w14:textId="77777777" w:rsidR="00EC15CE" w:rsidRPr="00BD1CC1" w:rsidRDefault="00EC15CE" w:rsidP="00EF3012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340" w:type="dxa"/>
            <w:vAlign w:val="center"/>
          </w:tcPr>
          <w:p w14:paraId="08F1755E" w14:textId="77777777" w:rsidR="00EC15CE" w:rsidRPr="00BD1CC1" w:rsidRDefault="00EC15CE" w:rsidP="00EF3012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EC15CE" w:rsidRPr="00BD1CC1" w14:paraId="44BCCC44" w14:textId="77777777" w:rsidTr="00EF3012">
        <w:trPr>
          <w:cantSplit/>
        </w:trPr>
        <w:tc>
          <w:tcPr>
            <w:tcW w:w="5340" w:type="dxa"/>
          </w:tcPr>
          <w:p w14:paraId="016C70A5" w14:textId="77777777" w:rsidR="00EC15CE" w:rsidRPr="00BD1CC1" w:rsidRDefault="00EC15CE" w:rsidP="00EF3012">
            <w:pPr>
              <w:pStyle w:val="TableDataUnpadded"/>
            </w:pPr>
            <w:r w:rsidRPr="00304464">
              <w:t>Profilnine</w:t>
            </w:r>
          </w:p>
        </w:tc>
        <w:tc>
          <w:tcPr>
            <w:tcW w:w="5340" w:type="dxa"/>
          </w:tcPr>
          <w:p w14:paraId="382A2AE8" w14:textId="77777777" w:rsidR="00EC15CE" w:rsidRPr="00BD1CC1" w:rsidRDefault="00EC15CE" w:rsidP="00EF3012">
            <w:pPr>
              <w:pStyle w:val="TableDataUnpadded"/>
            </w:pPr>
            <w:r w:rsidRPr="00304464">
              <w:t>factor IX complex [human]</w:t>
            </w:r>
          </w:p>
        </w:tc>
      </w:tr>
    </w:tbl>
    <w:bookmarkEnd w:id="0"/>
    <w:p w14:paraId="19F524AC" w14:textId="77777777" w:rsidR="00EC15CE" w:rsidRDefault="00EC15CE" w:rsidP="00EC15CE">
      <w:pPr>
        <w:pStyle w:val="Heading2"/>
      </w:pPr>
      <w:r>
        <w:t>Indications</w:t>
      </w:r>
    </w:p>
    <w:p w14:paraId="6C8C9766" w14:textId="77777777" w:rsidR="00EC15CE" w:rsidRPr="00512466" w:rsidRDefault="00EC15CE" w:rsidP="00EC15CE">
      <w:pPr>
        <w:pStyle w:val="BodyText"/>
      </w:pPr>
      <w:r w:rsidRPr="0051246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689917BE" w14:textId="77777777" w:rsidR="00EC15CE" w:rsidRDefault="00EC15CE" w:rsidP="00EC15CE">
      <w:pPr>
        <w:pStyle w:val="Heading3"/>
        <w:keepNext w:val="0"/>
      </w:pPr>
      <w:r w:rsidRPr="00BD1CC1">
        <w:t xml:space="preserve">FDA-approved </w:t>
      </w:r>
      <w:r w:rsidRPr="000E024F">
        <w:t>Indications</w:t>
      </w:r>
      <w:r>
        <w:rPr>
          <w:vertAlign w:val="superscript"/>
        </w:rPr>
        <w:t>1</w:t>
      </w:r>
    </w:p>
    <w:p w14:paraId="5430BF3F" w14:textId="77777777" w:rsidR="00EC15CE" w:rsidRPr="00512466" w:rsidRDefault="00EC15CE" w:rsidP="00EC15CE">
      <w:pPr>
        <w:pStyle w:val="BodyText"/>
      </w:pPr>
      <w:r w:rsidRPr="00512466">
        <w:t>Hemophilia B</w:t>
      </w:r>
    </w:p>
    <w:p w14:paraId="6D25AAF3" w14:textId="77777777" w:rsidR="00EC15CE" w:rsidRPr="007A4588" w:rsidRDefault="00EC15CE" w:rsidP="00EC15CE">
      <w:pPr>
        <w:pStyle w:val="Heading3"/>
        <w:keepNext w:val="0"/>
      </w:pPr>
      <w:r w:rsidRPr="007A4588">
        <w:t>Compendial Uses</w:t>
      </w:r>
    </w:p>
    <w:p w14:paraId="591C2F07" w14:textId="027FC6F9" w:rsidR="00EC15CE" w:rsidRDefault="00EC15CE" w:rsidP="00EC15CE">
      <w:pPr>
        <w:pStyle w:val="ListParagraph"/>
        <w:numPr>
          <w:ilvl w:val="0"/>
          <w:numId w:val="40"/>
        </w:numPr>
        <w:contextualSpacing w:val="0"/>
      </w:pPr>
      <w:r>
        <w:t>Bleeding due to low levels of liver-dependent coagulation factors</w:t>
      </w:r>
      <w:r>
        <w:rPr>
          <w:vertAlign w:val="superscript"/>
        </w:rPr>
        <w:t>2</w:t>
      </w:r>
    </w:p>
    <w:p w14:paraId="2944F809" w14:textId="700E9B52" w:rsidR="00EC15CE" w:rsidRDefault="00EC15CE" w:rsidP="00EC15CE">
      <w:pPr>
        <w:pStyle w:val="ListParagraph"/>
        <w:numPr>
          <w:ilvl w:val="0"/>
          <w:numId w:val="40"/>
        </w:numPr>
        <w:spacing w:after="120"/>
      </w:pPr>
      <w:r>
        <w:t>Factor II deficiency</w:t>
      </w:r>
      <w:r w:rsidR="007F340E">
        <w:rPr>
          <w:vertAlign w:val="superscript"/>
        </w:rPr>
        <w:t>3</w:t>
      </w:r>
    </w:p>
    <w:p w14:paraId="55EC389A" w14:textId="77777777" w:rsidR="00EC15CE" w:rsidRDefault="00EC15CE" w:rsidP="00EC15CE">
      <w:pPr>
        <w:pStyle w:val="BodyText"/>
      </w:pPr>
      <w:r w:rsidRPr="007A4588">
        <w:t>All other indications are considered experimental/investigational and not medically necessary.</w:t>
      </w:r>
    </w:p>
    <w:p w14:paraId="624442C9" w14:textId="77777777" w:rsidR="00EC15CE" w:rsidRDefault="00EC15CE" w:rsidP="00EC15CE">
      <w:pPr>
        <w:pStyle w:val="Heading2"/>
      </w:pPr>
      <w:r w:rsidRPr="007A4588">
        <w:t>Prescriber</w:t>
      </w:r>
      <w:r w:rsidRPr="00BD1CC1">
        <w:t xml:space="preserve"> Specialties</w:t>
      </w:r>
    </w:p>
    <w:p w14:paraId="6FC306DD" w14:textId="77777777" w:rsidR="00EC15CE" w:rsidRDefault="00EC15CE" w:rsidP="00EC15CE">
      <w:pPr>
        <w:pStyle w:val="BodyText"/>
      </w:pPr>
      <w:r w:rsidRPr="00512466">
        <w:t>Must be prescribed by or in consultation with a hematologist.</w:t>
      </w:r>
    </w:p>
    <w:p w14:paraId="27EB3111" w14:textId="65C2150A" w:rsidR="00EC15CE" w:rsidRDefault="00EC15CE" w:rsidP="00EC15CE">
      <w:pPr>
        <w:pStyle w:val="Heading2"/>
        <w:tabs>
          <w:tab w:val="left" w:pos="9739"/>
        </w:tabs>
      </w:pPr>
      <w:r>
        <w:lastRenderedPageBreak/>
        <w:t>Coverage Criteria</w:t>
      </w:r>
    </w:p>
    <w:p w14:paraId="04C6187E" w14:textId="77777777" w:rsidR="00EC15CE" w:rsidRDefault="00EC15CE" w:rsidP="00EC15CE">
      <w:pPr>
        <w:pStyle w:val="Heading3"/>
        <w:keepNext w:val="0"/>
      </w:pPr>
      <w:r>
        <w:t>Hemophilia B</w:t>
      </w:r>
      <w:r>
        <w:rPr>
          <w:vertAlign w:val="superscript"/>
        </w:rPr>
        <w:t>1</w:t>
      </w:r>
    </w:p>
    <w:p w14:paraId="3EA65FE8" w14:textId="77777777" w:rsidR="00EC15CE" w:rsidRDefault="00EC15CE" w:rsidP="00EC15CE">
      <w:pPr>
        <w:pStyle w:val="BodyText"/>
      </w:pPr>
      <w:r>
        <w:t>Authorization of 12 months may be granted for treatment of hemophilia B.</w:t>
      </w:r>
    </w:p>
    <w:p w14:paraId="0FBA21B9" w14:textId="1C27E525" w:rsidR="00EC15CE" w:rsidRDefault="00EC15CE" w:rsidP="00EC15CE">
      <w:pPr>
        <w:pStyle w:val="Heading3"/>
        <w:keepNext w:val="0"/>
      </w:pPr>
      <w:r>
        <w:t>Bleeding Due to Low Levels of Liver-dependent Coagulation Factors</w:t>
      </w:r>
      <w:r>
        <w:rPr>
          <w:vertAlign w:val="superscript"/>
        </w:rPr>
        <w:t>2</w:t>
      </w:r>
    </w:p>
    <w:p w14:paraId="72AC72E5" w14:textId="77777777" w:rsidR="00EC15CE" w:rsidRDefault="00EC15CE" w:rsidP="00EC15CE">
      <w:pPr>
        <w:pStyle w:val="BodyText"/>
      </w:pPr>
      <w:r>
        <w:t>Authorization of 12 months may be granted for treatment of bleeding due to low levels of liver-dependent coagulation factors.</w:t>
      </w:r>
    </w:p>
    <w:p w14:paraId="5CC0C056" w14:textId="12C400E3" w:rsidR="00EC15CE" w:rsidRDefault="00EC15CE" w:rsidP="00EC15CE">
      <w:pPr>
        <w:pStyle w:val="Heading3"/>
        <w:keepNext w:val="0"/>
      </w:pPr>
      <w:r>
        <w:t>Factor II Deficiency</w:t>
      </w:r>
      <w:r w:rsidR="00DA36CB">
        <w:rPr>
          <w:vertAlign w:val="superscript"/>
        </w:rPr>
        <w:t>3</w:t>
      </w:r>
    </w:p>
    <w:p w14:paraId="699F9AE7" w14:textId="77777777" w:rsidR="00EC15CE" w:rsidRPr="00B930B0" w:rsidRDefault="00EC15CE" w:rsidP="00EC15CE">
      <w:pPr>
        <w:pStyle w:val="BodyText"/>
      </w:pPr>
      <w:r>
        <w:t>Authorization of 12 months may be granted for treatment of factor II deficiency.</w:t>
      </w:r>
    </w:p>
    <w:p w14:paraId="2B066CD5" w14:textId="77777777" w:rsidR="00EC15CE" w:rsidRDefault="00EC15CE" w:rsidP="00EC15CE">
      <w:pPr>
        <w:pStyle w:val="Heading2"/>
      </w:pPr>
      <w:r w:rsidRPr="00BD1CC1">
        <w:t>Continuation of Therapy</w:t>
      </w:r>
    </w:p>
    <w:p w14:paraId="3089E3D9" w14:textId="47E4A36F" w:rsidR="00EC15CE" w:rsidRPr="00B930B0" w:rsidRDefault="00EC15CE" w:rsidP="00EC15CE">
      <w:pPr>
        <w:pStyle w:val="BodyText"/>
      </w:pPr>
      <w:r w:rsidRPr="00B930B0">
        <w:t xml:space="preserve">Authorization of 12 months may be granted for continued treatment in members requesting reauthorization for an indication listed in </w:t>
      </w:r>
      <w:r w:rsidR="00234095">
        <w:t>coverage criteria section</w:t>
      </w:r>
      <w:r w:rsidRPr="00B930B0">
        <w:t xml:space="preserve"> when the member is experiencing benefit from therapy (e.g., reduced frequency or severity of bleeds).</w:t>
      </w:r>
    </w:p>
    <w:p w14:paraId="34F6C5B6" w14:textId="77777777" w:rsidR="00EC15CE" w:rsidRDefault="00EC15CE" w:rsidP="00EC15CE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7A0BB4B3" w14:textId="77777777" w:rsidR="00EC15CE" w:rsidRDefault="00EC15CE" w:rsidP="00EC15CE">
      <w:pPr>
        <w:pStyle w:val="ReferenceOrdered"/>
        <w:keepLines/>
        <w:numPr>
          <w:ilvl w:val="0"/>
          <w:numId w:val="41"/>
        </w:numPr>
        <w:ind w:left="360"/>
      </w:pPr>
      <w:r>
        <w:t>Profilnine [package insert]. Los Angeles, CA: Grifols Biologicals, LLC; June 2023.</w:t>
      </w:r>
    </w:p>
    <w:p w14:paraId="2E203236" w14:textId="295EC227" w:rsidR="00EC15CE" w:rsidRDefault="00EC15CE" w:rsidP="00EC15CE">
      <w:pPr>
        <w:pStyle w:val="ReferenceOrdered"/>
        <w:keepLines/>
        <w:numPr>
          <w:ilvl w:val="0"/>
          <w:numId w:val="41"/>
        </w:numPr>
        <w:ind w:left="360"/>
      </w:pPr>
      <w:r>
        <w:t>Micromedex Solutions [database online]. Ann Arbor, MI: Truven Health Analytics Inc. Updated periodically www.micromedexsolutions.com [available with subscription]. Accessed December 5, 202</w:t>
      </w:r>
      <w:r w:rsidR="002E72D0">
        <w:t>4</w:t>
      </w:r>
      <w:r>
        <w:t>.</w:t>
      </w:r>
    </w:p>
    <w:p w14:paraId="3A70B99E" w14:textId="4650857D" w:rsidR="002E72D0" w:rsidRPr="00F724E9" w:rsidRDefault="002E72D0" w:rsidP="00F724E9">
      <w:pPr>
        <w:numPr>
          <w:ilvl w:val="0"/>
          <w:numId w:val="41"/>
        </w:numPr>
        <w:tabs>
          <w:tab w:val="left" w:pos="2160"/>
          <w:tab w:val="left" w:pos="2520"/>
          <w:tab w:val="left" w:pos="2880"/>
          <w:tab w:val="left" w:pos="5580"/>
          <w:tab w:val="left" w:pos="6480"/>
        </w:tabs>
        <w:ind w:left="360"/>
        <w:rPr>
          <w:rFonts w:cs="Arial"/>
          <w:szCs w:val="22"/>
        </w:rPr>
      </w:pPr>
      <w:bookmarkStart w:id="5" w:name="_Hlk152665356"/>
      <w:r w:rsidRPr="00F724E9">
        <w:rPr>
          <w:rFonts w:cs="Arial"/>
          <w:szCs w:val="22"/>
        </w:rPr>
        <w:t xml:space="preserve">National Hemophilia Foundation. MASAC Recommendations Concerning Products Licensed for the Treatment of Hemophilia and Selected Disorders of the Coagulation System. Revised </w:t>
      </w:r>
      <w:r>
        <w:rPr>
          <w:rFonts w:cs="Arial"/>
          <w:szCs w:val="22"/>
        </w:rPr>
        <w:t>October</w:t>
      </w:r>
      <w:r w:rsidRPr="00F724E9">
        <w:rPr>
          <w:rFonts w:cs="Arial"/>
          <w:szCs w:val="22"/>
        </w:rPr>
        <w:t xml:space="preserve"> 202</w:t>
      </w:r>
      <w:r>
        <w:rPr>
          <w:rFonts w:cs="Arial"/>
          <w:szCs w:val="22"/>
        </w:rPr>
        <w:t>4</w:t>
      </w:r>
      <w:r w:rsidRPr="00F724E9">
        <w:rPr>
          <w:rFonts w:cs="Arial"/>
          <w:szCs w:val="22"/>
        </w:rPr>
        <w:t>. MASAC Document #2</w:t>
      </w:r>
      <w:r>
        <w:rPr>
          <w:rFonts w:cs="Arial"/>
          <w:szCs w:val="22"/>
        </w:rPr>
        <w:t>90</w:t>
      </w:r>
      <w:r w:rsidRPr="00F724E9">
        <w:rPr>
          <w:rFonts w:cs="Arial"/>
          <w:szCs w:val="22"/>
        </w:rPr>
        <w:t>. https://www.hemophilia.org/sites/default/files/document/files/MASAC-Products-Licensed.pdf. Accessed December 5, 202</w:t>
      </w:r>
      <w:r>
        <w:rPr>
          <w:rFonts w:cs="Arial"/>
          <w:szCs w:val="22"/>
        </w:rPr>
        <w:t>4</w:t>
      </w:r>
      <w:r w:rsidRPr="00F724E9">
        <w:rPr>
          <w:rFonts w:cs="Arial"/>
          <w:szCs w:val="22"/>
        </w:rPr>
        <w:t>.</w:t>
      </w:r>
      <w:bookmarkEnd w:id="5"/>
    </w:p>
    <w:sectPr w:rsidR="002E72D0" w:rsidRPr="00F724E9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4DE4" w14:textId="77777777" w:rsidR="00306E28" w:rsidRDefault="00306E28">
      <w:r>
        <w:separator/>
      </w:r>
    </w:p>
  </w:endnote>
  <w:endnote w:type="continuationSeparator" w:id="0">
    <w:p w14:paraId="7C3F3CC9" w14:textId="77777777" w:rsidR="00306E28" w:rsidRDefault="00306E28">
      <w:r>
        <w:continuationSeparator/>
      </w:r>
    </w:p>
  </w:endnote>
  <w:endnote w:type="continuationNotice" w:id="1">
    <w:p w14:paraId="61AD770E" w14:textId="77777777" w:rsidR="00306E28" w:rsidRDefault="00306E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9D7403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C5CCC" w:rsidRPr="00EC5CCC">
      <w:rPr>
        <w:rFonts w:cs="Arial"/>
        <w:noProof/>
        <w:sz w:val="16"/>
        <w:szCs w:val="16"/>
      </w:rPr>
      <w:t>Factor</w:t>
    </w:r>
    <w:r w:rsidR="00EC5CCC">
      <w:rPr>
        <w:rFonts w:cs="Arial"/>
        <w:noProof/>
        <w:snapToGrid w:val="0"/>
        <w:color w:val="000000"/>
        <w:sz w:val="16"/>
        <w:szCs w:val="16"/>
      </w:rPr>
      <w:t xml:space="preserve"> IX Complex</w:t>
    </w:r>
    <w:r w:rsidR="00EC5CCC" w:rsidRPr="00EC5CCC">
      <w:rPr>
        <w:rFonts w:cs="Arial"/>
        <w:noProof/>
        <w:sz w:val="16"/>
        <w:szCs w:val="16"/>
      </w:rPr>
      <w:t xml:space="preserve"> SGM</w:t>
    </w:r>
    <w:r w:rsidR="00EC5CCC">
      <w:rPr>
        <w:rFonts w:cs="Arial"/>
        <w:noProof/>
        <w:snapToGrid w:val="0"/>
        <w:color w:val="000000"/>
        <w:sz w:val="16"/>
        <w:szCs w:val="16"/>
      </w:rPr>
      <w:t xml:space="preserve"> 1949-A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C251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813E15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C5CCC" w:rsidRPr="00EC5CCC">
      <w:rPr>
        <w:rFonts w:cs="Arial"/>
        <w:noProof/>
        <w:sz w:val="16"/>
        <w:szCs w:val="16"/>
      </w:rPr>
      <w:t>Factor</w:t>
    </w:r>
    <w:r w:rsidR="00EC5CCC">
      <w:rPr>
        <w:rFonts w:cs="Arial"/>
        <w:noProof/>
        <w:snapToGrid w:val="0"/>
        <w:color w:val="000000"/>
        <w:sz w:val="16"/>
        <w:szCs w:val="16"/>
      </w:rPr>
      <w:t xml:space="preserve"> IX Complex</w:t>
    </w:r>
    <w:r w:rsidR="00EC5CCC" w:rsidRPr="00EC5CCC">
      <w:rPr>
        <w:rFonts w:cs="Arial"/>
        <w:noProof/>
        <w:sz w:val="16"/>
        <w:szCs w:val="16"/>
      </w:rPr>
      <w:t xml:space="preserve"> SGM</w:t>
    </w:r>
    <w:r w:rsidR="00EC5CCC">
      <w:rPr>
        <w:rFonts w:cs="Arial"/>
        <w:noProof/>
        <w:snapToGrid w:val="0"/>
        <w:color w:val="000000"/>
        <w:sz w:val="16"/>
        <w:szCs w:val="16"/>
      </w:rPr>
      <w:t xml:space="preserve"> 1949-A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C251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A645F" w14:textId="77777777" w:rsidR="00306E28" w:rsidRDefault="00306E28">
      <w:r>
        <w:separator/>
      </w:r>
    </w:p>
  </w:footnote>
  <w:footnote w:type="continuationSeparator" w:id="0">
    <w:p w14:paraId="04AC8D02" w14:textId="77777777" w:rsidR="00306E28" w:rsidRDefault="00306E28">
      <w:r>
        <w:continuationSeparator/>
      </w:r>
    </w:p>
  </w:footnote>
  <w:footnote w:type="continuationNotice" w:id="1">
    <w:p w14:paraId="2080C4A2" w14:textId="77777777" w:rsidR="00306E28" w:rsidRDefault="00306E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4308DF0" w:rsidR="002B608C" w:rsidRPr="006427E4" w:rsidRDefault="00EC15CE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1949-A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327A4"/>
    <w:multiLevelType w:val="hybridMultilevel"/>
    <w:tmpl w:val="D098F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DA1605"/>
    <w:multiLevelType w:val="hybridMultilevel"/>
    <w:tmpl w:val="52588210"/>
    <w:lvl w:ilvl="0" w:tplc="091615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95F61"/>
    <w:multiLevelType w:val="hybridMultilevel"/>
    <w:tmpl w:val="A5A2B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7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28"/>
  </w:num>
  <w:num w:numId="23" w16cid:durableId="1997420403">
    <w:abstractNumId w:val="34"/>
  </w:num>
  <w:num w:numId="24" w16cid:durableId="33312838">
    <w:abstractNumId w:val="27"/>
  </w:num>
  <w:num w:numId="25" w16cid:durableId="507404939">
    <w:abstractNumId w:val="21"/>
  </w:num>
  <w:num w:numId="26" w16cid:durableId="1199008779">
    <w:abstractNumId w:val="16"/>
  </w:num>
  <w:num w:numId="27" w16cid:durableId="313687096">
    <w:abstractNumId w:val="23"/>
  </w:num>
  <w:num w:numId="28" w16cid:durableId="235746884">
    <w:abstractNumId w:val="11"/>
  </w:num>
  <w:num w:numId="29" w16cid:durableId="685014010">
    <w:abstractNumId w:val="24"/>
  </w:num>
  <w:num w:numId="30" w16cid:durableId="879166249">
    <w:abstractNumId w:val="32"/>
  </w:num>
  <w:num w:numId="31" w16cid:durableId="1243566383">
    <w:abstractNumId w:val="29"/>
  </w:num>
  <w:num w:numId="32" w16cid:durableId="1658726212">
    <w:abstractNumId w:val="19"/>
  </w:num>
  <w:num w:numId="33" w16cid:durableId="345324521">
    <w:abstractNumId w:val="31"/>
  </w:num>
  <w:num w:numId="34" w16cid:durableId="845704041">
    <w:abstractNumId w:val="30"/>
  </w:num>
  <w:num w:numId="35" w16cid:durableId="1879706093">
    <w:abstractNumId w:val="35"/>
  </w:num>
  <w:num w:numId="36" w16cid:durableId="1810242603">
    <w:abstractNumId w:val="14"/>
  </w:num>
  <w:num w:numId="37" w16cid:durableId="1341129603">
    <w:abstractNumId w:val="38"/>
  </w:num>
  <w:num w:numId="38" w16cid:durableId="1564099394">
    <w:abstractNumId w:val="38"/>
  </w:num>
  <w:num w:numId="39" w16cid:durableId="348216433">
    <w:abstractNumId w:val="18"/>
  </w:num>
  <w:num w:numId="40" w16cid:durableId="1488325092">
    <w:abstractNumId w:val="20"/>
  </w:num>
  <w:num w:numId="41" w16cid:durableId="336277417">
    <w:abstractNumId w:val="39"/>
  </w:num>
  <w:num w:numId="42" w16cid:durableId="1967156494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6DF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375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095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E72D0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6E28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075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794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7EE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51C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0EB6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025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A7AF0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0E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3E96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5000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C0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5532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7B8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54A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6CB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15CE"/>
    <w:rsid w:val="00EC26DE"/>
    <w:rsid w:val="00EC2860"/>
    <w:rsid w:val="00EC3FDF"/>
    <w:rsid w:val="00EC44FD"/>
    <w:rsid w:val="00EC45A5"/>
    <w:rsid w:val="00EC47B6"/>
    <w:rsid w:val="00EC5CCC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4E9"/>
    <w:rsid w:val="00F729CF"/>
    <w:rsid w:val="00F72FC2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4BD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790E11A3-2CEA-4416-8657-90768DE970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326</Words>
  <Characters>1908</Characters>
  <Application>Microsoft Office Word</Application>
  <DocSecurity>0</DocSecurity>
  <Lines>38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Specialty Guideline Management Profilnine</vt:lpstr>
      <vt:lpstr>    Products Referenced by this Document</vt:lpstr>
      <vt:lpstr>    Indications</vt:lpstr>
      <vt:lpstr>        FDA-approved Indications1</vt:lpstr>
      <vt:lpstr>        Compendial Uses</vt:lpstr>
      <vt:lpstr>    Prescriber Specialties</vt:lpstr>
      <vt:lpstr>    Coverage Criteria</vt:lpstr>
      <vt:lpstr>        Hemophilia B1</vt:lpstr>
      <vt:lpstr>        Bleeding Due to Low Levels of Liver-dependent Coagulation Factors2,A</vt:lpstr>
      <vt:lpstr>        Factor II Deficiency3,B</vt:lpstr>
      <vt:lpstr>    Continuation of Therapy</vt:lpstr>
      <vt:lpstr>    References</vt:lpstr>
      <vt:lpstr>    Internal References</vt:lpstr>
      <vt:lpstr>    Document History</vt:lpstr>
    </vt:vector>
  </TitlesOfParts>
  <Company>PCS Health Systems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Factor IX Complex SGM 1949-A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2025-03-10T18:27:00Z</dcterms:created>
  <dcterms:modified xsi:type="dcterms:W3CDTF">2025-03-10T18:35:00Z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1627800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